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EC" w:rsidRDefault="007F7AEC" w:rsidP="00A05EE7">
      <w:pPr>
        <w:spacing w:before="12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2AD"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inline distT="0" distB="0" distL="0" distR="0" wp14:anchorId="0A698106" wp14:editId="0C877C94">
            <wp:extent cx="5759450" cy="843094"/>
            <wp:effectExtent l="0" t="0" r="0" b="0"/>
            <wp:docPr id="1" name="Obraz 1" descr="C:\Users\barwacz.barbara\Desktop\logo arimr 25 lat_unowocześniamy_bez_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wacz.barbara\Desktop\logo arimr 25 lat_unowocześniamy_bez_tł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EC" w:rsidRDefault="007F7AEC" w:rsidP="00A05EE7">
      <w:pPr>
        <w:spacing w:before="12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5EE7" w:rsidRPr="00FE6008" w:rsidRDefault="00A05EE7" w:rsidP="00A05EE7">
      <w:pPr>
        <w:spacing w:before="12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6008">
        <w:rPr>
          <w:rFonts w:ascii="Times New Roman" w:hAnsi="Times New Roman" w:cs="Times New Roman"/>
          <w:b/>
          <w:bCs/>
          <w:sz w:val="32"/>
          <w:szCs w:val="32"/>
        </w:rPr>
        <w:t>Premia na rozpoczęcie działalności pozarolniczej na nowych, korzystnych zasadach</w:t>
      </w:r>
    </w:p>
    <w:p w:rsidR="00A05EE7" w:rsidRPr="00F82914" w:rsidRDefault="007F7AEC" w:rsidP="00A05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A05EE7" w:rsidRPr="00F82914">
        <w:rPr>
          <w:rFonts w:ascii="Times New Roman" w:hAnsi="Times New Roman" w:cs="Times New Roman"/>
          <w:b/>
          <w:sz w:val="24"/>
          <w:szCs w:val="24"/>
        </w:rPr>
        <w:t>o 29 października br. rolnicy, którzy chcą założyć biz</w:t>
      </w:r>
      <w:r w:rsidR="00B6385E" w:rsidRPr="00F82914">
        <w:rPr>
          <w:rFonts w:ascii="Times New Roman" w:hAnsi="Times New Roman" w:cs="Times New Roman"/>
          <w:b/>
          <w:sz w:val="24"/>
          <w:szCs w:val="24"/>
        </w:rPr>
        <w:t xml:space="preserve">nes na wsi, mogą ubiegać się w </w:t>
      </w:r>
      <w:r w:rsidR="00A05EE7" w:rsidRPr="00F82914">
        <w:rPr>
          <w:rFonts w:ascii="Times New Roman" w:hAnsi="Times New Roman" w:cs="Times New Roman"/>
          <w:b/>
          <w:sz w:val="24"/>
          <w:szCs w:val="24"/>
        </w:rPr>
        <w:t xml:space="preserve">Agencji Restrukturyzacji i Modernizacji Rolnictwa o przyznanie premii na rozpoczęcie działalności pozarolniczej, finansowanej z PROW 2014-2020. Tegoroczny nabór wniosków odbywa się na korzystniejszych niż do tej pory zasadach.  </w:t>
      </w:r>
    </w:p>
    <w:p w:rsidR="00A05EE7" w:rsidRPr="00F82914" w:rsidRDefault="00A05EE7" w:rsidP="00A05E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914">
        <w:rPr>
          <w:rFonts w:ascii="Times New Roman" w:hAnsi="Times New Roman" w:cs="Times New Roman"/>
          <w:sz w:val="24"/>
          <w:szCs w:val="24"/>
        </w:rPr>
        <w:t xml:space="preserve">Pierwszą istotną zmianą jest zwiększenie kwoty premii, która dotychczas wynosiła 100 tys. zł, </w:t>
      </w:r>
      <w:r w:rsidR="00F82914" w:rsidRPr="00F82914">
        <w:rPr>
          <w:rFonts w:ascii="Times New Roman" w:hAnsi="Times New Roman" w:cs="Times New Roman"/>
          <w:sz w:val="24"/>
          <w:szCs w:val="24"/>
        </w:rPr>
        <w:t>i </w:t>
      </w:r>
      <w:r w:rsidRPr="00F82914">
        <w:rPr>
          <w:rFonts w:ascii="Times New Roman" w:hAnsi="Times New Roman" w:cs="Times New Roman"/>
          <w:sz w:val="24"/>
          <w:szCs w:val="24"/>
        </w:rPr>
        <w:t>uzależnienie</w:t>
      </w:r>
      <w:r w:rsidRPr="00F82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14">
        <w:rPr>
          <w:rFonts w:ascii="Times New Roman" w:hAnsi="Times New Roman" w:cs="Times New Roman"/>
          <w:sz w:val="24"/>
          <w:szCs w:val="24"/>
        </w:rPr>
        <w:t>jej od liczby</w:t>
      </w:r>
      <w:r w:rsidRPr="00F82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 pracy, które rolnik planuje stworzyć w swojej firmie. I tak otrzyma on: </w:t>
      </w:r>
    </w:p>
    <w:p w:rsidR="00A05EE7" w:rsidRPr="00853696" w:rsidRDefault="00A05EE7" w:rsidP="00A05EE7">
      <w:pPr>
        <w:pStyle w:val="Podstawowyakapitowy"/>
        <w:jc w:val="both"/>
        <w:rPr>
          <w:rFonts w:ascii="Times New Roman" w:hAnsi="Times New Roman" w:cs="Times New Roman"/>
        </w:rPr>
      </w:pPr>
      <w:r w:rsidRPr="00853696">
        <w:rPr>
          <w:rFonts w:ascii="Times New Roman" w:hAnsi="Times New Roman" w:cs="Times New Roman"/>
        </w:rPr>
        <w:t xml:space="preserve">•   </w:t>
      </w:r>
      <w:r w:rsidRPr="00853696">
        <w:rPr>
          <w:rFonts w:ascii="Times New Roman" w:hAnsi="Times New Roman" w:cs="Times New Roman"/>
          <w:b/>
          <w:bCs/>
        </w:rPr>
        <w:t>150 tys. zł</w:t>
      </w:r>
      <w:r w:rsidR="00B6385E" w:rsidRPr="00853696">
        <w:rPr>
          <w:rFonts w:ascii="Times New Roman" w:hAnsi="Times New Roman" w:cs="Times New Roman"/>
        </w:rPr>
        <w:t xml:space="preserve"> - jeżeli</w:t>
      </w:r>
      <w:r w:rsidRPr="00853696">
        <w:rPr>
          <w:rFonts w:ascii="Times New Roman" w:hAnsi="Times New Roman" w:cs="Times New Roman"/>
        </w:rPr>
        <w:t xml:space="preserve"> biznesplan przewiduje utworzenie co najmniej 1 miejsca pracy;</w:t>
      </w:r>
    </w:p>
    <w:p w:rsidR="00A05EE7" w:rsidRPr="00152F3B" w:rsidRDefault="00A05EE7" w:rsidP="00A05EE7">
      <w:pPr>
        <w:pStyle w:val="Podstawowyakapitowy"/>
        <w:jc w:val="both"/>
        <w:rPr>
          <w:rFonts w:ascii="Times New Roman" w:hAnsi="Times New Roman" w:cs="Times New Roman"/>
        </w:rPr>
      </w:pPr>
      <w:r w:rsidRPr="00853696">
        <w:rPr>
          <w:rFonts w:ascii="Times New Roman" w:hAnsi="Times New Roman" w:cs="Times New Roman"/>
        </w:rPr>
        <w:t xml:space="preserve">•   </w:t>
      </w:r>
      <w:r w:rsidRPr="00853696">
        <w:rPr>
          <w:rFonts w:ascii="Times New Roman" w:hAnsi="Times New Roman" w:cs="Times New Roman"/>
          <w:b/>
          <w:bCs/>
        </w:rPr>
        <w:t>200 tys. zł</w:t>
      </w:r>
      <w:r w:rsidRPr="00152F3B">
        <w:rPr>
          <w:rFonts w:ascii="Times New Roman" w:hAnsi="Times New Roman" w:cs="Times New Roman"/>
        </w:rPr>
        <w:t xml:space="preserve"> - jeżeli w biznesplanie zadeklaruje utworzenie co najmniej 2 miejsc pracy;</w:t>
      </w:r>
    </w:p>
    <w:p w:rsidR="00A05EE7" w:rsidRPr="00F82914" w:rsidRDefault="00A05EE7" w:rsidP="00A05EE7">
      <w:pPr>
        <w:pStyle w:val="Podstawowyakapitowy"/>
        <w:jc w:val="both"/>
        <w:rPr>
          <w:rFonts w:ascii="Times New Roman" w:hAnsi="Times New Roman" w:cs="Times New Roman"/>
        </w:rPr>
      </w:pPr>
      <w:r w:rsidRPr="00F82914">
        <w:rPr>
          <w:rFonts w:ascii="Times New Roman" w:hAnsi="Times New Roman" w:cs="Times New Roman"/>
        </w:rPr>
        <w:t xml:space="preserve">•   </w:t>
      </w:r>
      <w:r w:rsidRPr="00F82914">
        <w:rPr>
          <w:rFonts w:ascii="Times New Roman" w:hAnsi="Times New Roman" w:cs="Times New Roman"/>
          <w:b/>
          <w:bCs/>
        </w:rPr>
        <w:t>250 tys. zł</w:t>
      </w:r>
      <w:r w:rsidRPr="00F82914">
        <w:rPr>
          <w:rFonts w:ascii="Times New Roman" w:hAnsi="Times New Roman" w:cs="Times New Roman"/>
        </w:rPr>
        <w:t xml:space="preserve"> - jeżeli zaplanuje w biznesplanie utworzenie co najmniej 3 miejsc pracy. </w:t>
      </w:r>
    </w:p>
    <w:p w:rsidR="00A05EE7" w:rsidRPr="00152F3B" w:rsidRDefault="00A05EE7" w:rsidP="00A05EE7">
      <w:pPr>
        <w:pStyle w:val="NormalnyWeb"/>
      </w:pPr>
      <w:r w:rsidRPr="00F82914">
        <w:t xml:space="preserve">Premia na rozpoczęcie działalności </w:t>
      </w:r>
      <w:r w:rsidR="002F423F" w:rsidRPr="00F82914">
        <w:t>poza</w:t>
      </w:r>
      <w:r w:rsidRPr="00F82914">
        <w:t>rolniczej jest wypłacana w dwóch ratach</w:t>
      </w:r>
      <w:r w:rsidRPr="00F82914">
        <w:rPr>
          <w:b/>
        </w:rPr>
        <w:t>.</w:t>
      </w:r>
      <w:r w:rsidRPr="00F82914">
        <w:t xml:space="preserve"> Pier</w:t>
      </w:r>
      <w:r w:rsidR="00B6385E" w:rsidRPr="00F82914">
        <w:t>wszą (80</w:t>
      </w:r>
      <w:r w:rsidR="00152F3B">
        <w:t> proc.</w:t>
      </w:r>
      <w:r w:rsidR="00B6385E" w:rsidRPr="00853696">
        <w:t>)</w:t>
      </w:r>
      <w:r w:rsidRPr="00853696">
        <w:t xml:space="preserve"> rolnik otrzyma, gdy spełnieni war</w:t>
      </w:r>
      <w:r w:rsidR="00B6385E" w:rsidRPr="00853696">
        <w:t>unki określone w wydanej decyzji</w:t>
      </w:r>
      <w:r w:rsidRPr="00853696">
        <w:t xml:space="preserve"> o przyznaniu pomocy, a będzie miał na to 9 miesięcy </w:t>
      </w:r>
      <w:r w:rsidR="00B6385E" w:rsidRPr="00853696">
        <w:t>(</w:t>
      </w:r>
      <w:r w:rsidRPr="00853696">
        <w:t>liczone od dnia doręczenia takiej decyzji</w:t>
      </w:r>
      <w:r w:rsidR="00B6385E" w:rsidRPr="00853696">
        <w:t>)</w:t>
      </w:r>
      <w:r w:rsidRPr="00853696">
        <w:t xml:space="preserve">. Pozostałe 20 proc. premii </w:t>
      </w:r>
      <w:r w:rsidR="00B6385E" w:rsidRPr="00853696">
        <w:t xml:space="preserve">wpłynie na jego konto </w:t>
      </w:r>
      <w:r w:rsidRPr="00853696">
        <w:t>po realizac</w:t>
      </w:r>
      <w:r w:rsidRPr="00152F3B">
        <w:t>ji biznesplanu. Na złożenie wniosku o</w:t>
      </w:r>
      <w:r w:rsidR="00152F3B">
        <w:t> </w:t>
      </w:r>
      <w:r w:rsidRPr="00152F3B">
        <w:t>wypłatę drugiej raty pomocy prz</w:t>
      </w:r>
      <w:r w:rsidR="00B6385E" w:rsidRPr="00152F3B">
        <w:t>ewidziano maksymalnie dwa lata (l</w:t>
      </w:r>
      <w:r w:rsidRPr="00152F3B">
        <w:t>iczone od dnia wypłaty pierwszej części premii</w:t>
      </w:r>
      <w:r w:rsidR="00B6385E" w:rsidRPr="00152F3B">
        <w:t>)</w:t>
      </w:r>
      <w:r w:rsidR="00C96123" w:rsidRPr="00152F3B">
        <w:t xml:space="preserve"> i nie później niż do dnia 31 sierpnia 2023</w:t>
      </w:r>
      <w:r w:rsidR="0095066D" w:rsidRPr="00152F3B">
        <w:t xml:space="preserve"> </w:t>
      </w:r>
      <w:r w:rsidR="00C96123" w:rsidRPr="00152F3B">
        <w:t xml:space="preserve">r. </w:t>
      </w:r>
    </w:p>
    <w:p w:rsidR="00A05EE7" w:rsidRPr="00853696" w:rsidRDefault="00A05EE7" w:rsidP="00A05EE7">
      <w:pPr>
        <w:pStyle w:val="NormalnyWeb"/>
      </w:pPr>
      <w:r w:rsidRPr="00152F3B">
        <w:t>Co ważne, 70</w:t>
      </w:r>
      <w:r w:rsidR="00152F3B">
        <w:t> proc.</w:t>
      </w:r>
      <w:r w:rsidRPr="00F82914">
        <w:t xml:space="preserve"> kwoty premii musi być wydane na inwestycje w środki trwałe, czyli np. zakup maszyn i urządzeń, środków transportu czy wyposażenia. Pozostałe 30</w:t>
      </w:r>
      <w:r w:rsidR="00152F3B">
        <w:t> proc.</w:t>
      </w:r>
      <w:r w:rsidRPr="00F82914">
        <w:t xml:space="preserve"> można przeznaczyć na wydatki bieżące związane z rozpoczęciem działalności. </w:t>
      </w:r>
    </w:p>
    <w:p w:rsidR="00A05EE7" w:rsidRPr="00853696" w:rsidRDefault="00A05EE7" w:rsidP="00A05E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>Nowością w tego</w:t>
      </w:r>
      <w:r w:rsidR="00B6385E"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rocznym naborze jest także krąg osób, które mogą ubiegać się </w:t>
      </w:r>
      <w:r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wsparcie. Z premii mogą korzystać </w:t>
      </w:r>
      <w:r w:rsidR="00B6385E"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>ci, którzy</w:t>
      </w:r>
      <w:r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ubezpieczeniu w KRUS w pełnym zakresie jako rolnik, małżonek rolnika lub domownik nieprzerwanie co najmniej 12 miesięcy przed złożeniem wniosku o przyznanie pomocy. Premia przeznaczona jest </w:t>
      </w:r>
      <w:r w:rsidR="00B6385E"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osób, które przez 24 miesiące poprzedzające złożenie wniosku miały zawieszoną pozarolniczą działalność gospodarczą </w:t>
      </w:r>
      <w:r w:rsidR="00472F9C" w:rsidRPr="00F8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zakończyły </w:t>
      </w:r>
      <w:r w:rsidR="00472F9C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działalności </w:t>
      </w:r>
      <w:r w:rsidR="00F82914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472F9C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</w:t>
      </w:r>
      <w:r w:rsidR="00F82914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miesiące przed złożeniem wniosku </w:t>
      </w:r>
      <w:r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dla tych, którzy swój biznes</w:t>
      </w:r>
      <w:r w:rsidR="00B6385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już prowadzą</w:t>
      </w:r>
      <w:r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chcą go rozszerz</w:t>
      </w:r>
      <w:r w:rsidR="00B6385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yć o nowy rodzaj działalności</w:t>
      </w:r>
      <w:r w:rsidR="00D07CFC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chcą kontynuować </w:t>
      </w:r>
      <w:r w:rsidR="00D13DE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określoną kodem PKD </w:t>
      </w:r>
      <w:r w:rsidR="00D07CFC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D13DE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D07CFC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6123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po 24 miesięcznej przerwie</w:t>
      </w:r>
      <w:r w:rsidR="00D13DE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739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53696" w:rsidRPr="005E2179">
        <w:rPr>
          <w:rFonts w:ascii="Times New Roman" w:hAnsi="Times New Roman" w:cs="Times New Roman"/>
          <w:sz w:val="24"/>
          <w:szCs w:val="24"/>
        </w:rPr>
        <w:t xml:space="preserve">wynikającej z </w:t>
      </w:r>
      <w:r w:rsidR="00D13DE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wykreśleni</w:t>
      </w:r>
      <w:r w:rsidR="00853696" w:rsidRPr="005E2179">
        <w:rPr>
          <w:rFonts w:ascii="Times New Roman" w:hAnsi="Times New Roman" w:cs="Times New Roman"/>
          <w:sz w:val="24"/>
          <w:szCs w:val="24"/>
        </w:rPr>
        <w:t>a</w:t>
      </w:r>
      <w:r w:rsidR="00D13DEE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działalności z CEDIG</w:t>
      </w:r>
      <w:r w:rsidR="000C1739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96123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2F9C" w:rsidRPr="005E2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179">
        <w:rPr>
          <w:rFonts w:ascii="Times New Roman" w:hAnsi="Times New Roman" w:cs="Times New Roman"/>
          <w:sz w:val="24"/>
          <w:szCs w:val="24"/>
        </w:rPr>
        <w:t>Zakres</w:t>
      </w:r>
      <w:r w:rsidRPr="00F82914">
        <w:rPr>
          <w:rFonts w:ascii="Times New Roman" w:hAnsi="Times New Roman" w:cs="Times New Roman"/>
          <w:sz w:val="24"/>
          <w:szCs w:val="24"/>
        </w:rPr>
        <w:t xml:space="preserve"> rodzajów działalności gospodarczych, na które można uzyskać premię, jest bardzo szeroki. Obejmuje on kilkaset tzw. kodów Polskiej Klasyfikacji Działalności</w:t>
      </w:r>
      <w:r w:rsidR="00B6385E" w:rsidRPr="00853696">
        <w:rPr>
          <w:rFonts w:ascii="Times New Roman" w:hAnsi="Times New Roman" w:cs="Times New Roman"/>
          <w:sz w:val="24"/>
          <w:szCs w:val="24"/>
        </w:rPr>
        <w:t xml:space="preserve"> (PKD)</w:t>
      </w:r>
      <w:r w:rsidRPr="00853696">
        <w:rPr>
          <w:rFonts w:ascii="Times New Roman" w:hAnsi="Times New Roman" w:cs="Times New Roman"/>
          <w:sz w:val="24"/>
          <w:szCs w:val="24"/>
        </w:rPr>
        <w:t>, pod którymi można będzie zarejestrować i</w:t>
      </w:r>
      <w:r w:rsidR="007C6DF9">
        <w:rPr>
          <w:rFonts w:ascii="Times New Roman" w:hAnsi="Times New Roman" w:cs="Times New Roman"/>
          <w:sz w:val="24"/>
          <w:szCs w:val="24"/>
        </w:rPr>
        <w:t> </w:t>
      </w:r>
      <w:r w:rsidRPr="00853696">
        <w:rPr>
          <w:rFonts w:ascii="Times New Roman" w:hAnsi="Times New Roman" w:cs="Times New Roman"/>
          <w:sz w:val="24"/>
          <w:szCs w:val="24"/>
        </w:rPr>
        <w:t>prowadzić firmę. Pieniądze można przeznaczyć m.</w:t>
      </w:r>
      <w:r w:rsidR="007C6DF9">
        <w:rPr>
          <w:rFonts w:ascii="Times New Roman" w:hAnsi="Times New Roman" w:cs="Times New Roman"/>
          <w:sz w:val="24"/>
          <w:szCs w:val="24"/>
        </w:rPr>
        <w:t> </w:t>
      </w:r>
      <w:r w:rsidRPr="00853696">
        <w:rPr>
          <w:rFonts w:ascii="Times New Roman" w:hAnsi="Times New Roman" w:cs="Times New Roman"/>
          <w:sz w:val="24"/>
          <w:szCs w:val="24"/>
        </w:rPr>
        <w:t xml:space="preserve">in. na: </w:t>
      </w:r>
    </w:p>
    <w:p w:rsidR="00A05EE7" w:rsidRPr="00853696" w:rsidRDefault="00B6385E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3696">
        <w:rPr>
          <w:rFonts w:ascii="Times New Roman" w:hAnsi="Times New Roman"/>
          <w:sz w:val="24"/>
          <w:szCs w:val="24"/>
        </w:rPr>
        <w:t>sprzedaż detaliczną</w:t>
      </w:r>
      <w:r w:rsidR="00A05EE7" w:rsidRPr="00853696">
        <w:rPr>
          <w:rFonts w:ascii="Times New Roman" w:hAnsi="Times New Roman"/>
          <w:sz w:val="24"/>
          <w:szCs w:val="24"/>
        </w:rPr>
        <w:t xml:space="preserve"> kwiatów, roślin, nasion, nawozów, żywych zwierząt domowych i</w:t>
      </w:r>
      <w:r w:rsidR="007C6DF9">
        <w:rPr>
          <w:rFonts w:ascii="Times New Roman" w:hAnsi="Times New Roman"/>
          <w:sz w:val="24"/>
          <w:szCs w:val="24"/>
        </w:rPr>
        <w:t> </w:t>
      </w:r>
      <w:r w:rsidR="00A05EE7" w:rsidRPr="00853696">
        <w:rPr>
          <w:rFonts w:ascii="Times New Roman" w:hAnsi="Times New Roman"/>
          <w:sz w:val="24"/>
          <w:szCs w:val="24"/>
        </w:rPr>
        <w:t xml:space="preserve">karmy </w:t>
      </w:r>
      <w:r w:rsidRPr="00853696">
        <w:rPr>
          <w:rFonts w:ascii="Times New Roman" w:hAnsi="Times New Roman"/>
          <w:sz w:val="24"/>
          <w:szCs w:val="24"/>
        </w:rPr>
        <w:t>dla zwierząt domowych prowadzoną</w:t>
      </w:r>
      <w:r w:rsidR="00A05EE7" w:rsidRPr="00853696">
        <w:rPr>
          <w:rFonts w:ascii="Times New Roman" w:hAnsi="Times New Roman"/>
          <w:sz w:val="24"/>
          <w:szCs w:val="24"/>
        </w:rPr>
        <w:t xml:space="preserve"> w wyspecjalizowanych sklepach; </w:t>
      </w:r>
    </w:p>
    <w:p w:rsidR="00A05EE7" w:rsidRPr="00853696" w:rsidRDefault="00120E4D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369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produkcję mebli i wyrobów z drewna</w:t>
      </w:r>
      <w:r w:rsidR="00A05EE7" w:rsidRPr="0085369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A05EE7" w:rsidRPr="00853696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3696">
        <w:rPr>
          <w:rFonts w:ascii="Times New Roman" w:eastAsia="Times New Roman" w:hAnsi="Times New Roman"/>
          <w:sz w:val="24"/>
          <w:szCs w:val="24"/>
          <w:lang w:eastAsia="pl-PL"/>
        </w:rPr>
        <w:t>turystykę wiejską;</w:t>
      </w:r>
    </w:p>
    <w:p w:rsidR="00A05EE7" w:rsidRPr="00152F3B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53696">
        <w:rPr>
          <w:rFonts w:ascii="Times New Roman" w:eastAsia="Times New Roman" w:hAnsi="Times New Roman"/>
          <w:sz w:val="24"/>
          <w:szCs w:val="24"/>
          <w:lang w:eastAsia="pl-PL"/>
        </w:rPr>
        <w:t xml:space="preserve">przetwórstwo i sprzedaż produktów </w:t>
      </w:r>
      <w:proofErr w:type="spellStart"/>
      <w:r w:rsidRPr="00853696">
        <w:rPr>
          <w:rFonts w:ascii="Times New Roman" w:eastAsia="Times New Roman" w:hAnsi="Times New Roman"/>
          <w:sz w:val="24"/>
          <w:szCs w:val="24"/>
          <w:lang w:eastAsia="pl-PL"/>
        </w:rPr>
        <w:t>nierolnych</w:t>
      </w:r>
      <w:proofErr w:type="spellEnd"/>
      <w:r w:rsidRPr="0085369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A05EE7" w:rsidRPr="00152F3B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2F3B">
        <w:rPr>
          <w:rFonts w:ascii="Times New Roman" w:eastAsia="Times New Roman" w:hAnsi="Times New Roman"/>
          <w:sz w:val="24"/>
          <w:szCs w:val="24"/>
          <w:lang w:eastAsia="pl-PL"/>
        </w:rPr>
        <w:t xml:space="preserve">usługi opieki nad dziećmi, </w:t>
      </w:r>
      <w:r w:rsidR="00B6385E" w:rsidRPr="00853696">
        <w:rPr>
          <w:rFonts w:ascii="Times New Roman" w:eastAsia="Times New Roman" w:hAnsi="Times New Roman"/>
          <w:sz w:val="24"/>
          <w:szCs w:val="24"/>
          <w:lang w:eastAsia="pl-PL"/>
        </w:rPr>
        <w:t xml:space="preserve">osobami starszymi lub </w:t>
      </w:r>
      <w:r w:rsidRPr="00152F3B">
        <w:rPr>
          <w:rFonts w:ascii="Times New Roman" w:eastAsia="Times New Roman" w:hAnsi="Times New Roman"/>
          <w:sz w:val="24"/>
          <w:szCs w:val="24"/>
          <w:lang w:eastAsia="pl-PL"/>
        </w:rPr>
        <w:t>niepełnosprawnymi;</w:t>
      </w:r>
    </w:p>
    <w:p w:rsidR="00A05EE7" w:rsidRPr="00152F3B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2F3B">
        <w:rPr>
          <w:rFonts w:ascii="Times New Roman" w:eastAsia="Times New Roman" w:hAnsi="Times New Roman"/>
          <w:sz w:val="24"/>
          <w:szCs w:val="24"/>
          <w:lang w:eastAsia="pl-PL"/>
        </w:rPr>
        <w:t>działalność informatyczną, komputerową i elektroniczną;</w:t>
      </w:r>
    </w:p>
    <w:p w:rsidR="00A05EE7" w:rsidRPr="007C6DF9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C6DF9">
        <w:rPr>
          <w:rFonts w:ascii="Times New Roman" w:eastAsia="Times New Roman" w:hAnsi="Times New Roman"/>
          <w:sz w:val="24"/>
          <w:szCs w:val="24"/>
          <w:lang w:eastAsia="pl-PL"/>
        </w:rPr>
        <w:t xml:space="preserve">sprzedaż internetową; </w:t>
      </w:r>
    </w:p>
    <w:p w:rsidR="00A05EE7" w:rsidRPr="00F82914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E619F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działalność architektoniczną i inżynierską, usługi rachunkowości, księgowe, </w:t>
      </w:r>
      <w:r w:rsidRPr="00F82914">
        <w:rPr>
          <w:rFonts w:ascii="Times New Roman" w:eastAsia="Times New Roman" w:hAnsi="Times New Roman"/>
          <w:sz w:val="24"/>
          <w:szCs w:val="24"/>
          <w:lang w:eastAsia="pl-PL"/>
        </w:rPr>
        <w:t>audytorskie, techniczne;</w:t>
      </w:r>
    </w:p>
    <w:p w:rsidR="00A05EE7" w:rsidRPr="00F82914" w:rsidRDefault="00A05EE7" w:rsidP="00A05EE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82914">
        <w:rPr>
          <w:rFonts w:ascii="Times New Roman" w:eastAsia="Times New Roman" w:hAnsi="Times New Roman"/>
          <w:sz w:val="24"/>
          <w:szCs w:val="24"/>
          <w:lang w:eastAsia="pl-PL"/>
        </w:rPr>
        <w:t>działalność weterynaryjną.</w:t>
      </w:r>
    </w:p>
    <w:p w:rsidR="00A05EE7" w:rsidRDefault="00A05EE7" w:rsidP="00A05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2914">
        <w:rPr>
          <w:rFonts w:ascii="Times New Roman" w:hAnsi="Times New Roman" w:cs="Times New Roman"/>
          <w:sz w:val="24"/>
          <w:szCs w:val="24"/>
        </w:rPr>
        <w:t xml:space="preserve">Kolejna korzystna zmiana dotyczy obowiązku ubezpieczenia w ZUS. </w:t>
      </w:r>
      <w:r w:rsidR="00B6385E" w:rsidRPr="00F82914">
        <w:rPr>
          <w:rFonts w:ascii="Times New Roman" w:hAnsi="Times New Roman" w:cs="Times New Roman"/>
          <w:sz w:val="24"/>
          <w:szCs w:val="24"/>
        </w:rPr>
        <w:t>B</w:t>
      </w:r>
      <w:r w:rsidRPr="00F82914">
        <w:rPr>
          <w:rFonts w:ascii="Times New Roman" w:hAnsi="Times New Roman" w:cs="Times New Roman"/>
          <w:sz w:val="24"/>
          <w:szCs w:val="24"/>
        </w:rPr>
        <w:t xml:space="preserve">eneficjent po zarejestrowaniu działalności gospodarczej może pozostać w KRUS do dnia złożenia wniosku </w:t>
      </w:r>
      <w:r w:rsidRPr="00F82914">
        <w:rPr>
          <w:rStyle w:val="FontStyle17"/>
          <w:sz w:val="24"/>
          <w:szCs w:val="24"/>
        </w:rPr>
        <w:t xml:space="preserve">o wypłatę drugiej raty premii. </w:t>
      </w:r>
      <w:r w:rsidRPr="00F829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7AEC" w:rsidRPr="00FC5D0D" w:rsidRDefault="007F7AEC" w:rsidP="007F7AEC">
      <w:pPr>
        <w:spacing w:after="0" w:line="240" w:lineRule="auto"/>
        <w:rPr>
          <w:rFonts w:ascii="Times New Roman" w:eastAsia="Calibri" w:hAnsi="Times New Roman" w:cs="Times New Roman"/>
          <w:b/>
          <w:color w:val="1F3864" w:themeColor="accent5" w:themeShade="80"/>
          <w:sz w:val="24"/>
          <w:szCs w:val="24"/>
        </w:rPr>
      </w:pPr>
      <w:r w:rsidRPr="00FC5D0D">
        <w:rPr>
          <w:rFonts w:ascii="Times New Roman" w:eastAsia="Calibri" w:hAnsi="Times New Roman" w:cs="Times New Roman"/>
          <w:b/>
          <w:color w:val="1F3864" w:themeColor="accent5" w:themeShade="80"/>
          <w:sz w:val="24"/>
          <w:szCs w:val="24"/>
        </w:rPr>
        <w:t>Szczegółowe informacje</w:t>
      </w:r>
      <w:r>
        <w:rPr>
          <w:rFonts w:ascii="Times New Roman" w:eastAsia="Calibri" w:hAnsi="Times New Roman" w:cs="Times New Roman"/>
          <w:b/>
          <w:color w:val="1F3864" w:themeColor="accent5" w:themeShade="80"/>
          <w:sz w:val="24"/>
          <w:szCs w:val="24"/>
        </w:rPr>
        <w:t>:</w:t>
      </w:r>
      <w:bookmarkStart w:id="0" w:name="_GoBack"/>
      <w:bookmarkEnd w:id="0"/>
      <w:r w:rsidRPr="00FC5D0D">
        <w:rPr>
          <w:rFonts w:ascii="Times New Roman" w:eastAsia="Calibri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7F7AEC" w:rsidRPr="00FC5D0D" w:rsidRDefault="007F7AEC" w:rsidP="007F7A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5D0D">
        <w:rPr>
          <w:rFonts w:ascii="Times New Roman" w:eastAsia="Calibri" w:hAnsi="Times New Roman" w:cs="Times New Roman"/>
          <w:sz w:val="24"/>
          <w:szCs w:val="24"/>
        </w:rPr>
        <w:t xml:space="preserve">W Punktach Informacyjnych w Biurach Powiatowych ARiMR </w:t>
      </w:r>
    </w:p>
    <w:p w:rsidR="007F7AEC" w:rsidRPr="00FC5D0D" w:rsidRDefault="007F7AEC" w:rsidP="007F7AE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C5D0D">
        <w:rPr>
          <w:rFonts w:ascii="Times New Roman" w:eastAsia="Calibri" w:hAnsi="Times New Roman" w:cs="Times New Roman"/>
          <w:sz w:val="24"/>
          <w:szCs w:val="24"/>
        </w:rPr>
        <w:t xml:space="preserve">na stronie internetowej </w:t>
      </w:r>
      <w:hyperlink r:id="rId6" w:history="1">
        <w:r w:rsidRPr="00FC5D0D">
          <w:rPr>
            <w:rFonts w:ascii="Times New Roman" w:eastAsia="Calibri" w:hAnsi="Times New Roman" w:cs="Times New Roman"/>
            <w:b/>
            <w:sz w:val="24"/>
            <w:szCs w:val="24"/>
          </w:rPr>
          <w:t>www.arimr.gov.pl</w:t>
        </w:r>
      </w:hyperlink>
    </w:p>
    <w:p w:rsidR="007F7AEC" w:rsidRPr="00FC5D0D" w:rsidRDefault="007F7AEC" w:rsidP="007F7AEC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D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https://www.facebook.com/MalopolskiARiMR</w:t>
        </w:r>
      </w:hyperlink>
    </w:p>
    <w:p w:rsidR="007F7AEC" w:rsidRPr="00F82914" w:rsidRDefault="007F7AEC" w:rsidP="00A05E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05EE7" w:rsidRPr="00F82914" w:rsidRDefault="00A05EE7" w:rsidP="00A05EE7">
      <w:pPr>
        <w:pStyle w:val="NormalnyWeb"/>
      </w:pPr>
    </w:p>
    <w:p w:rsidR="00A05EE7" w:rsidRPr="00F82914" w:rsidRDefault="00A05EE7" w:rsidP="00A05EE7">
      <w:pPr>
        <w:pStyle w:val="NormalnyWeb"/>
      </w:pPr>
    </w:p>
    <w:p w:rsidR="005C31D5" w:rsidRPr="005E2179" w:rsidRDefault="007F7AEC">
      <w:pPr>
        <w:rPr>
          <w:rFonts w:ascii="Times New Roman" w:hAnsi="Times New Roman" w:cs="Times New Roman"/>
          <w:sz w:val="24"/>
          <w:szCs w:val="24"/>
        </w:rPr>
      </w:pPr>
    </w:p>
    <w:sectPr w:rsidR="005C31D5" w:rsidRPr="005E2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38CF"/>
    <w:multiLevelType w:val="hybridMultilevel"/>
    <w:tmpl w:val="548C0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75E86"/>
    <w:multiLevelType w:val="hybridMultilevel"/>
    <w:tmpl w:val="00A28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A7C8A"/>
    <w:multiLevelType w:val="hybridMultilevel"/>
    <w:tmpl w:val="D6946C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E7"/>
    <w:rsid w:val="00027923"/>
    <w:rsid w:val="000C1739"/>
    <w:rsid w:val="00120E4D"/>
    <w:rsid w:val="00152F3B"/>
    <w:rsid w:val="001E619F"/>
    <w:rsid w:val="002F423F"/>
    <w:rsid w:val="00472F9C"/>
    <w:rsid w:val="004D150B"/>
    <w:rsid w:val="005E2179"/>
    <w:rsid w:val="00662B88"/>
    <w:rsid w:val="007411DD"/>
    <w:rsid w:val="007C6DF9"/>
    <w:rsid w:val="007F7AEC"/>
    <w:rsid w:val="00830789"/>
    <w:rsid w:val="00853696"/>
    <w:rsid w:val="0095066D"/>
    <w:rsid w:val="00A05EE7"/>
    <w:rsid w:val="00A63C23"/>
    <w:rsid w:val="00B6385E"/>
    <w:rsid w:val="00C96123"/>
    <w:rsid w:val="00D069AC"/>
    <w:rsid w:val="00D07CFC"/>
    <w:rsid w:val="00D13DEE"/>
    <w:rsid w:val="00E05560"/>
    <w:rsid w:val="00E10EFF"/>
    <w:rsid w:val="00F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3D097-2FD5-481B-B072-CA4BAAB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0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5E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odstawowyakapitowy">
    <w:name w:val="[Podstawowy akapitowy]"/>
    <w:basedOn w:val="Normalny"/>
    <w:uiPriority w:val="99"/>
    <w:rsid w:val="00A05E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5EE7"/>
    <w:rPr>
      <w:color w:val="0000FF"/>
      <w:u w:val="single"/>
    </w:rPr>
  </w:style>
  <w:style w:type="character" w:customStyle="1" w:styleId="FontStyle17">
    <w:name w:val="Font Style17"/>
    <w:uiPriority w:val="99"/>
    <w:rsid w:val="00A05EE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E05560"/>
    <w:pPr>
      <w:widowControl w:val="0"/>
      <w:autoSpaceDE w:val="0"/>
      <w:autoSpaceDN w:val="0"/>
      <w:adjustRightInd w:val="0"/>
      <w:spacing w:after="0" w:line="282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alopolskiARi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Daniluk-Jankowska Alicja</dc:creator>
  <cp:keywords/>
  <dc:description/>
  <cp:lastModifiedBy>Barwacz-Mikula Barbara</cp:lastModifiedBy>
  <cp:revision>2</cp:revision>
  <dcterms:created xsi:type="dcterms:W3CDTF">2019-10-17T12:08:00Z</dcterms:created>
  <dcterms:modified xsi:type="dcterms:W3CDTF">2019-10-17T12:08:00Z</dcterms:modified>
</cp:coreProperties>
</file>