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D6" w:rsidRPr="00D152D6" w:rsidRDefault="00D152D6" w:rsidP="00D152D6">
      <w:pPr>
        <w:pStyle w:val="Podtytu"/>
        <w:rPr>
          <w:rStyle w:val="Wyrnienieintensywne"/>
        </w:rPr>
      </w:pPr>
      <w:r w:rsidRPr="00D152D6">
        <w:rPr>
          <w:rStyle w:val="Wyrnienieintensywne"/>
        </w:rPr>
        <w:t>Spichlerz Dworski w Ryglicach z 1757 roku</w:t>
      </w:r>
    </w:p>
    <w:p w:rsidR="00D152D6" w:rsidRDefault="00D152D6" w:rsidP="00D152D6">
      <w:proofErr w:type="spellStart"/>
      <w:r>
        <w:t>Nr</w:t>
      </w:r>
      <w:proofErr w:type="spellEnd"/>
      <w:r>
        <w:t>. Rejestru Zabytków A-161, działka nr 509/3 w Ryglicach</w:t>
      </w:r>
    </w:p>
    <w:p w:rsidR="00D152D6" w:rsidRDefault="00D152D6" w:rsidP="00D152D6">
      <w:r>
        <w:t>Adres: ul. Tarnowska, 33-160 Ryglice</w:t>
      </w:r>
    </w:p>
    <w:p w:rsidR="00D152D6" w:rsidRDefault="00D152D6" w:rsidP="00D152D6">
      <w:r>
        <w:t>Charakterystyka techniczna budowy i jej efektów po realizacyjnych:</w:t>
      </w:r>
    </w:p>
    <w:p w:rsidR="00D152D6" w:rsidRDefault="00D152D6" w:rsidP="00D152D6">
      <w:pPr>
        <w:pStyle w:val="Akapitzlist"/>
        <w:numPr>
          <w:ilvl w:val="0"/>
          <w:numId w:val="2"/>
        </w:numPr>
      </w:pPr>
      <w:r>
        <w:t xml:space="preserve">- </w:t>
      </w:r>
      <w:r>
        <w:tab/>
        <w:t>powierzchnia zabudowy – 215,60 m2</w:t>
      </w:r>
    </w:p>
    <w:p w:rsidR="00D152D6" w:rsidRDefault="00D152D6" w:rsidP="00D152D6">
      <w:pPr>
        <w:pStyle w:val="Akapitzlist"/>
        <w:numPr>
          <w:ilvl w:val="0"/>
          <w:numId w:val="2"/>
        </w:numPr>
      </w:pPr>
      <w:r>
        <w:t>-</w:t>
      </w:r>
      <w:r>
        <w:tab/>
        <w:t>kubatura budynku – 1164,24 m3</w:t>
      </w:r>
    </w:p>
    <w:p w:rsidR="00D152D6" w:rsidRDefault="00D152D6" w:rsidP="00D152D6">
      <w:pPr>
        <w:pStyle w:val="Akapitzlist"/>
        <w:numPr>
          <w:ilvl w:val="0"/>
          <w:numId w:val="2"/>
        </w:numPr>
      </w:pPr>
      <w:r>
        <w:t>-</w:t>
      </w:r>
      <w:r>
        <w:tab/>
        <w:t>powierzchnia użytkowa – 228,66 m3</w:t>
      </w:r>
    </w:p>
    <w:p w:rsidR="00D152D6" w:rsidRDefault="00AC3983" w:rsidP="00D152D6">
      <w:r>
        <w:rPr>
          <w:noProof/>
          <w:lang w:eastAsia="pl-PL"/>
        </w:rPr>
        <w:drawing>
          <wp:inline distT="0" distB="0" distL="0" distR="0">
            <wp:extent cx="5760720" cy="4090035"/>
            <wp:effectExtent l="19050" t="0" r="0" b="0"/>
            <wp:docPr id="1" name="Obraz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6" w:rsidRPr="00D152D6" w:rsidRDefault="00D152D6" w:rsidP="00D152D6">
      <w:r w:rsidRPr="00D152D6">
        <w:t>ETAPY RENOWACJI</w:t>
      </w:r>
    </w:p>
    <w:p w:rsidR="00D152D6" w:rsidRDefault="00D152D6" w:rsidP="00D152D6">
      <w:r>
        <w:t xml:space="preserve">W pierwszym etapie renowacji w 2010 r. wyremontowane zostały ściany i fundamenty oraz wymieniono pokrycie dachowe. Koszt tego etapu zamyka się w kwocie 228 tys. zł, w tym dotacja na kwotę 134 tys. zł. W 2010 r. złożono wniosek o dofinansowanie na realizację kolejnego etapu zadania. Drugi etap prac objął remont odkrytych piwnic, prace budowlano – wykończeniowe oraz zakup podstawowego wyposażenia i zakończył się w 2012 roku a jego całkowity koszt to kwota 740 tys. zł w tym dotacja ze środków PROW w ramach Leadera - 298 tys. zł. </w:t>
      </w:r>
    </w:p>
    <w:p w:rsidR="00D152D6" w:rsidRDefault="00AC3983" w:rsidP="00D152D6">
      <w:r>
        <w:rPr>
          <w:noProof/>
          <w:lang w:eastAsia="pl-PL"/>
        </w:rPr>
        <w:lastRenderedPageBreak/>
        <w:drawing>
          <wp:inline distT="0" distB="0" distL="0" distR="0">
            <wp:extent cx="4598670" cy="3449003"/>
            <wp:effectExtent l="19050" t="0" r="0" b="0"/>
            <wp:docPr id="2" name="Obraz 1" descr="Ryglice spichle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glice spichlerz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713" cy="34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D6" w:rsidRDefault="00D152D6" w:rsidP="00D152D6">
      <w:r>
        <w:t>Spichlerz niewątpliwie ma szansę stać się prawdziwą perełką na Małopolskim Szlaku Architektury Drewnianej a władze gminy chcą doprowadzić obiekt do takiego stanu, by stał się wizytówką Ryglic.</w:t>
      </w:r>
    </w:p>
    <w:p w:rsidR="00D152D6" w:rsidRDefault="00AC3983" w:rsidP="00D152D6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2" descr="spichlerz stan obecny realiz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chlerz stan obecny realizac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83" w:rsidRDefault="00D152D6" w:rsidP="00D152D6">
      <w:r>
        <w:lastRenderedPageBreak/>
        <w:tab/>
        <w:t xml:space="preserve">Po renowacji spichlerz to okazała, piętrowa budowla z dachem krytym gontem. Na dzień dzisiejszy bryła budynku odzwierciedla wygląd spichlerza z zachowanej fotografii z 1915 r. </w:t>
      </w:r>
    </w:p>
    <w:p w:rsidR="009C6A92" w:rsidRDefault="00AC3983" w:rsidP="00D152D6">
      <w:r>
        <w:rPr>
          <w:noProof/>
          <w:lang w:eastAsia="pl-PL"/>
        </w:rPr>
        <w:drawing>
          <wp:inline distT="0" distB="0" distL="0" distR="0">
            <wp:extent cx="5760720" cy="2613660"/>
            <wp:effectExtent l="19050" t="0" r="0" b="0"/>
            <wp:docPr id="4" name="Obraz 3" descr="spichl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chlerz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59" w:rsidRDefault="00D152D6" w:rsidP="00B77959">
      <w:r>
        <w:t xml:space="preserve">Odtworzono w nim m.in. balkon i pomieszczenia na strychu. </w:t>
      </w:r>
      <w:r w:rsidR="00B77959">
        <w:t xml:space="preserve">Zastosowano rozwiązania proekologiczne oraz energooszczędne. </w:t>
      </w:r>
    </w:p>
    <w:p w:rsidR="00B77959" w:rsidRDefault="00B77959" w:rsidP="00B77959">
      <w:pPr>
        <w:pStyle w:val="Default"/>
      </w:pPr>
      <w:r>
        <w:t xml:space="preserve"> </w:t>
      </w:r>
    </w:p>
    <w:p w:rsidR="00AC3983" w:rsidRDefault="00AC3983" w:rsidP="00D152D6"/>
    <w:p w:rsidR="00AC3983" w:rsidRDefault="00AC3983" w:rsidP="00D152D6">
      <w:r>
        <w:rPr>
          <w:noProof/>
          <w:lang w:eastAsia="pl-PL"/>
        </w:rPr>
        <w:drawing>
          <wp:inline distT="0" distB="0" distL="0" distR="0">
            <wp:extent cx="5558790" cy="3707542"/>
            <wp:effectExtent l="19050" t="0" r="3810" b="0"/>
            <wp:docPr id="5" name="Obraz 4" descr="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839" cy="37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248" w:rsidRDefault="00366248"/>
    <w:sectPr w:rsidR="00366248" w:rsidSect="00CB6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>
    <w:nsid w:val="0F277B44"/>
    <w:multiLevelType w:val="hybridMultilevel"/>
    <w:tmpl w:val="721E4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66248"/>
    <w:rsid w:val="00366248"/>
    <w:rsid w:val="00395BA5"/>
    <w:rsid w:val="00787698"/>
    <w:rsid w:val="0088123E"/>
    <w:rsid w:val="009C6A92"/>
    <w:rsid w:val="00AC3983"/>
    <w:rsid w:val="00B77959"/>
    <w:rsid w:val="00CA6143"/>
    <w:rsid w:val="00CB6BF7"/>
    <w:rsid w:val="00D152D6"/>
    <w:rsid w:val="00F6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6BF7"/>
  </w:style>
  <w:style w:type="paragraph" w:styleId="Nagwek1">
    <w:name w:val="heading 1"/>
    <w:basedOn w:val="Normalny"/>
    <w:next w:val="Normalny"/>
    <w:link w:val="Nagwek1Znak"/>
    <w:uiPriority w:val="9"/>
    <w:qFormat/>
    <w:rsid w:val="00AC39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9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66248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36624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D152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15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152D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152D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D152D6"/>
    <w:rPr>
      <w:i/>
      <w:iCs/>
      <w:color w:val="808080" w:themeColor="text1" w:themeTint="7F"/>
    </w:rPr>
  </w:style>
  <w:style w:type="character" w:styleId="Uwydatnienie">
    <w:name w:val="Emphasis"/>
    <w:basedOn w:val="Domylnaczcionkaakapitu"/>
    <w:uiPriority w:val="20"/>
    <w:qFormat/>
    <w:rsid w:val="00D152D6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D152D6"/>
    <w:rPr>
      <w:b/>
      <w:bCs/>
      <w:i/>
      <w:i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D152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98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C39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odstpw">
    <w:name w:val="No Spacing"/>
    <w:uiPriority w:val="1"/>
    <w:qFormat/>
    <w:rsid w:val="00AC398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AC39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779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</dc:creator>
  <cp:lastModifiedBy>Bu</cp:lastModifiedBy>
  <cp:revision>2</cp:revision>
  <dcterms:created xsi:type="dcterms:W3CDTF">2014-02-24T08:23:00Z</dcterms:created>
  <dcterms:modified xsi:type="dcterms:W3CDTF">2014-02-24T08:23:00Z</dcterms:modified>
</cp:coreProperties>
</file>